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B3" w:rsidRPr="00F140B3" w:rsidRDefault="00F140B3" w:rsidP="00F140B3">
      <w:pPr>
        <w:jc w:val="center"/>
        <w:rPr>
          <w:rFonts w:ascii="標楷體" w:eastAsia="標楷體" w:hAnsi="標楷體"/>
          <w:sz w:val="32"/>
        </w:rPr>
      </w:pPr>
      <w:bookmarkStart w:id="0" w:name="_GoBack"/>
      <w:bookmarkEnd w:id="0"/>
      <w:r w:rsidRPr="00F140B3">
        <w:rPr>
          <w:rFonts w:ascii="標楷體" w:eastAsia="標楷體" w:hAnsi="標楷體" w:hint="eastAsia"/>
          <w:sz w:val="32"/>
        </w:rPr>
        <w:t>新北市政府警察局治安監視錄影系統設置管理要點</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 xml:space="preserve">新北市政府警察局(以下簡稱本局)為規範治安監視錄影系統之設置及管理，以維護治安，並保障人民權益，特訂定本要點。 </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本要點所稱治安監視錄影系統，指本局於新北市(含烏來自治區)公共場所設置、</w:t>
      </w:r>
      <w:proofErr w:type="gramStart"/>
      <w:r w:rsidRPr="00F140B3">
        <w:rPr>
          <w:rFonts w:ascii="標楷體" w:eastAsia="標楷體" w:hAnsi="標楷體" w:hint="eastAsia"/>
        </w:rPr>
        <w:t>管理之攝錄影</w:t>
      </w:r>
      <w:proofErr w:type="gramEnd"/>
      <w:r w:rsidRPr="00F140B3">
        <w:rPr>
          <w:rFonts w:ascii="標楷體" w:eastAsia="標楷體" w:hAnsi="標楷體" w:hint="eastAsia"/>
        </w:rPr>
        <w:t>音設備。</w:t>
      </w:r>
      <w:r w:rsidRPr="00F140B3">
        <w:rPr>
          <w:rFonts w:ascii="標楷體" w:eastAsia="標楷體" w:hAnsi="標楷體"/>
        </w:rPr>
        <w:br/>
      </w:r>
      <w:r w:rsidRPr="00F140B3">
        <w:rPr>
          <w:rFonts w:ascii="標楷體" w:eastAsia="標楷體" w:hAnsi="標楷體" w:hint="eastAsia"/>
        </w:rPr>
        <w:t>前項攝錄影音設備包含攝影機、路口收容機箱、路口管理主機、 機櫃、自立</w:t>
      </w:r>
      <w:proofErr w:type="gramStart"/>
      <w:r w:rsidRPr="00F140B3">
        <w:rPr>
          <w:rFonts w:ascii="標楷體" w:eastAsia="標楷體" w:hAnsi="標楷體" w:hint="eastAsia"/>
        </w:rPr>
        <w:t>桿</w:t>
      </w:r>
      <w:proofErr w:type="gramEnd"/>
      <w:r w:rsidRPr="00F140B3">
        <w:rPr>
          <w:rFonts w:ascii="標楷體" w:eastAsia="標楷體" w:hAnsi="標楷體" w:hint="eastAsia"/>
        </w:rPr>
        <w:t>、傳輸線路、無線網路設備、中繼站及其他供錄音錄影功能所需之器材。</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治安監視錄影系統之設置，應以維護公共安全、社會秩序、犯罪預防及偵查為目的並兼顧人民權益，以適當方法為之，不得逾達成目的之必要限度。</w:t>
      </w:r>
      <w:r w:rsidRPr="00F140B3">
        <w:rPr>
          <w:rFonts w:ascii="標楷體" w:eastAsia="標楷體" w:hAnsi="標楷體"/>
        </w:rPr>
        <w:br/>
      </w:r>
      <w:r w:rsidRPr="00F140B3">
        <w:rPr>
          <w:rFonts w:ascii="標楷體" w:eastAsia="標楷體" w:hAnsi="標楷體" w:hint="eastAsia"/>
        </w:rPr>
        <w:t>治安監視錄影系統之主要攝影方向，不得針對特定標的或私人 處所。</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依本要點設置之治安監視錄影系統，完成設置後，應公告其設置區位並於適當位置標示設置單位及聯絡方式。</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本局得將辦理會</w:t>
      </w:r>
      <w:proofErr w:type="gramStart"/>
      <w:r w:rsidRPr="00F140B3">
        <w:rPr>
          <w:rFonts w:ascii="標楷體" w:eastAsia="標楷體" w:hAnsi="標楷體" w:hint="eastAsia"/>
        </w:rPr>
        <w:t>勘</w:t>
      </w:r>
      <w:proofErr w:type="gramEnd"/>
      <w:r w:rsidRPr="00F140B3">
        <w:rPr>
          <w:rFonts w:ascii="標楷體" w:eastAsia="標楷體" w:hAnsi="標楷體" w:hint="eastAsia"/>
        </w:rPr>
        <w:t>、查核及調閱事項委由轄區警察分局(以下簡稱各分局)執行之。</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治安監視錄影系統影音資料應妥善保管與保密，非依法定程序，不得處理及利用。</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公務機關因執行職務之需要，得向本局或各分局申請調閱治安監視錄影系統影音資料，必要時並得複製、利用。</w:t>
      </w:r>
      <w:r w:rsidRPr="00F140B3">
        <w:rPr>
          <w:rFonts w:ascii="標楷體" w:eastAsia="標楷體" w:hAnsi="標楷體"/>
        </w:rPr>
        <w:br/>
      </w:r>
      <w:r w:rsidRPr="00F140B3">
        <w:rPr>
          <w:rFonts w:ascii="標楷體" w:eastAsia="標楷體" w:hAnsi="標楷體" w:hint="eastAsia"/>
        </w:rPr>
        <w:t>前項申請應以書面載明法令依據、調閱目的、範圍及用途。</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政府機關以外人民有申請調閱、複製前項影音資料之必要時，應以書面敘明理由，向各分局提出並經受理單位依相關法令規定審查同意後</w:t>
      </w:r>
      <w:proofErr w:type="gramStart"/>
      <w:r w:rsidRPr="00F140B3">
        <w:rPr>
          <w:rFonts w:ascii="標楷體" w:eastAsia="標楷體" w:hAnsi="標楷體" w:hint="eastAsia"/>
        </w:rPr>
        <w:t>始得調閱</w:t>
      </w:r>
      <w:proofErr w:type="gramEnd"/>
      <w:r w:rsidRPr="00F140B3">
        <w:rPr>
          <w:rFonts w:ascii="標楷體" w:eastAsia="標楷體" w:hAnsi="標楷體" w:hint="eastAsia"/>
        </w:rPr>
        <w:t>、複製。</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治安監視錄影系統影音資料，除其他法律另有規定或因調查犯罪及其他違法行為，有繼續保存之必要者外，至遲應於</w:t>
      </w:r>
      <w:proofErr w:type="gramStart"/>
      <w:r w:rsidRPr="00F140B3">
        <w:rPr>
          <w:rFonts w:ascii="標楷體" w:eastAsia="標楷體" w:hAnsi="標楷體" w:hint="eastAsia"/>
        </w:rPr>
        <w:t>一</w:t>
      </w:r>
      <w:proofErr w:type="gramEnd"/>
      <w:r w:rsidRPr="00F140B3">
        <w:rPr>
          <w:rFonts w:ascii="標楷體" w:eastAsia="標楷體" w:hAnsi="標楷體" w:hint="eastAsia"/>
        </w:rPr>
        <w:t>年內銷毀之。</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分局應就治安監視錄影系統攝錄影音資料之調閱、複製、利用作成紀錄，每月至少檢查一次；本局得隨時抽查或實施考核。</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分局應指定專人辦理安全維護事項並對相關管理人員定期辦理專業之教育訓練。</w:t>
      </w:r>
    </w:p>
    <w:p w:rsidR="00F140B3"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本要點</w:t>
      </w:r>
      <w:proofErr w:type="gramStart"/>
      <w:r w:rsidRPr="00F140B3">
        <w:rPr>
          <w:rFonts w:ascii="標楷體" w:eastAsia="標楷體" w:hAnsi="標楷體" w:hint="eastAsia"/>
        </w:rPr>
        <w:t>所定書表</w:t>
      </w:r>
      <w:proofErr w:type="gramEnd"/>
      <w:r w:rsidRPr="00F140B3">
        <w:rPr>
          <w:rFonts w:ascii="標楷體" w:eastAsia="標楷體" w:hAnsi="標楷體" w:hint="eastAsia"/>
        </w:rPr>
        <w:t>格式及相關督導考核規定，由本局另定之。</w:t>
      </w:r>
    </w:p>
    <w:p w:rsidR="00D46CDB" w:rsidRPr="00F140B3" w:rsidRDefault="00F140B3" w:rsidP="00F140B3">
      <w:pPr>
        <w:pStyle w:val="a3"/>
        <w:numPr>
          <w:ilvl w:val="0"/>
          <w:numId w:val="1"/>
        </w:numPr>
        <w:ind w:leftChars="0"/>
        <w:rPr>
          <w:rFonts w:ascii="標楷體" w:eastAsia="標楷體" w:hAnsi="標楷體"/>
        </w:rPr>
      </w:pPr>
      <w:r w:rsidRPr="00F140B3">
        <w:rPr>
          <w:rFonts w:ascii="標楷體" w:eastAsia="標楷體" w:hAnsi="標楷體" w:hint="eastAsia"/>
        </w:rPr>
        <w:t>本要點自公布日施行。</w:t>
      </w:r>
    </w:p>
    <w:sectPr w:rsidR="00D46CDB" w:rsidRPr="00F140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C3" w:rsidRDefault="004569C3" w:rsidP="00030F00">
      <w:r>
        <w:separator/>
      </w:r>
    </w:p>
  </w:endnote>
  <w:endnote w:type="continuationSeparator" w:id="0">
    <w:p w:rsidR="004569C3" w:rsidRDefault="004569C3" w:rsidP="0003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C3" w:rsidRDefault="004569C3" w:rsidP="00030F00">
      <w:r>
        <w:separator/>
      </w:r>
    </w:p>
  </w:footnote>
  <w:footnote w:type="continuationSeparator" w:id="0">
    <w:p w:rsidR="004569C3" w:rsidRDefault="004569C3" w:rsidP="00030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4116"/>
    <w:multiLevelType w:val="hybridMultilevel"/>
    <w:tmpl w:val="39A020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0C5587"/>
    <w:multiLevelType w:val="hybridMultilevel"/>
    <w:tmpl w:val="CC8A51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B3"/>
    <w:rsid w:val="00030F00"/>
    <w:rsid w:val="004569C3"/>
    <w:rsid w:val="00D46CDB"/>
    <w:rsid w:val="00F14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B3"/>
    <w:pPr>
      <w:ind w:leftChars="200" w:left="480"/>
    </w:pPr>
  </w:style>
  <w:style w:type="paragraph" w:styleId="a4">
    <w:name w:val="header"/>
    <w:basedOn w:val="a"/>
    <w:link w:val="a5"/>
    <w:uiPriority w:val="99"/>
    <w:unhideWhenUsed/>
    <w:rsid w:val="00030F00"/>
    <w:pPr>
      <w:tabs>
        <w:tab w:val="center" w:pos="4153"/>
        <w:tab w:val="right" w:pos="8306"/>
      </w:tabs>
      <w:snapToGrid w:val="0"/>
    </w:pPr>
    <w:rPr>
      <w:sz w:val="20"/>
      <w:szCs w:val="20"/>
    </w:rPr>
  </w:style>
  <w:style w:type="character" w:customStyle="1" w:styleId="a5">
    <w:name w:val="頁首 字元"/>
    <w:basedOn w:val="a0"/>
    <w:link w:val="a4"/>
    <w:uiPriority w:val="99"/>
    <w:rsid w:val="00030F00"/>
    <w:rPr>
      <w:sz w:val="20"/>
      <w:szCs w:val="20"/>
    </w:rPr>
  </w:style>
  <w:style w:type="paragraph" w:styleId="a6">
    <w:name w:val="footer"/>
    <w:basedOn w:val="a"/>
    <w:link w:val="a7"/>
    <w:uiPriority w:val="99"/>
    <w:unhideWhenUsed/>
    <w:rsid w:val="00030F00"/>
    <w:pPr>
      <w:tabs>
        <w:tab w:val="center" w:pos="4153"/>
        <w:tab w:val="right" w:pos="8306"/>
      </w:tabs>
      <w:snapToGrid w:val="0"/>
    </w:pPr>
    <w:rPr>
      <w:sz w:val="20"/>
      <w:szCs w:val="20"/>
    </w:rPr>
  </w:style>
  <w:style w:type="character" w:customStyle="1" w:styleId="a7">
    <w:name w:val="頁尾 字元"/>
    <w:basedOn w:val="a0"/>
    <w:link w:val="a6"/>
    <w:uiPriority w:val="99"/>
    <w:rsid w:val="00030F0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B3"/>
    <w:pPr>
      <w:ind w:leftChars="200" w:left="480"/>
    </w:pPr>
  </w:style>
  <w:style w:type="paragraph" w:styleId="a4">
    <w:name w:val="header"/>
    <w:basedOn w:val="a"/>
    <w:link w:val="a5"/>
    <w:uiPriority w:val="99"/>
    <w:unhideWhenUsed/>
    <w:rsid w:val="00030F00"/>
    <w:pPr>
      <w:tabs>
        <w:tab w:val="center" w:pos="4153"/>
        <w:tab w:val="right" w:pos="8306"/>
      </w:tabs>
      <w:snapToGrid w:val="0"/>
    </w:pPr>
    <w:rPr>
      <w:sz w:val="20"/>
      <w:szCs w:val="20"/>
    </w:rPr>
  </w:style>
  <w:style w:type="character" w:customStyle="1" w:styleId="a5">
    <w:name w:val="頁首 字元"/>
    <w:basedOn w:val="a0"/>
    <w:link w:val="a4"/>
    <w:uiPriority w:val="99"/>
    <w:rsid w:val="00030F00"/>
    <w:rPr>
      <w:sz w:val="20"/>
      <w:szCs w:val="20"/>
    </w:rPr>
  </w:style>
  <w:style w:type="paragraph" w:styleId="a6">
    <w:name w:val="footer"/>
    <w:basedOn w:val="a"/>
    <w:link w:val="a7"/>
    <w:uiPriority w:val="99"/>
    <w:unhideWhenUsed/>
    <w:rsid w:val="00030F00"/>
    <w:pPr>
      <w:tabs>
        <w:tab w:val="center" w:pos="4153"/>
        <w:tab w:val="right" w:pos="8306"/>
      </w:tabs>
      <w:snapToGrid w:val="0"/>
    </w:pPr>
    <w:rPr>
      <w:sz w:val="20"/>
      <w:szCs w:val="20"/>
    </w:rPr>
  </w:style>
  <w:style w:type="character" w:customStyle="1" w:styleId="a7">
    <w:name w:val="頁尾 字元"/>
    <w:basedOn w:val="a0"/>
    <w:link w:val="a6"/>
    <w:uiPriority w:val="99"/>
    <w:rsid w:val="00030F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尤昱博</dc:creator>
  <cp:lastModifiedBy>葉永豐</cp:lastModifiedBy>
  <cp:revision>2</cp:revision>
  <cp:lastPrinted>2018-10-26T01:34:00Z</cp:lastPrinted>
  <dcterms:created xsi:type="dcterms:W3CDTF">2018-10-24T02:48:00Z</dcterms:created>
  <dcterms:modified xsi:type="dcterms:W3CDTF">2018-10-26T01:34:00Z</dcterms:modified>
</cp:coreProperties>
</file>